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22" w:lineRule="exact"/>
      </w:pPr>
      <w:r>
        <w:t>退出电梯延长检验周期改革试点的申请</w:t>
      </w:r>
    </w:p>
    <w:p>
      <w:pPr>
        <w:pStyle w:val="3"/>
        <w:spacing w:before="11"/>
        <w:rPr>
          <w:rFonts w:ascii="Microsoft JhengHei"/>
          <w:b/>
          <w:sz w:val="41"/>
        </w:rPr>
      </w:pPr>
    </w:p>
    <w:p>
      <w:pPr>
        <w:pStyle w:val="3"/>
        <w:ind w:left="109"/>
      </w:pPr>
      <w:r>
        <w:t>宁波市特种设备检验研究院：</w:t>
      </w:r>
    </w:p>
    <w:p>
      <w:pPr>
        <w:pStyle w:val="3"/>
        <w:spacing w:before="214" w:line="364" w:lineRule="auto"/>
        <w:ind w:left="109" w:right="130" w:firstLine="640"/>
      </w:pPr>
      <w:r>
        <w:rPr>
          <w:w w:val="95"/>
        </w:rPr>
        <w:t>根据市场监管总局《关于进一步做好改进电梯维护保养模 式和调整电梯检验检测方式试点工作的意见》（国市监特设</w:t>
      </w:r>
    </w:p>
    <w:p>
      <w:pPr>
        <w:pStyle w:val="3"/>
        <w:spacing w:before="2" w:line="364" w:lineRule="auto"/>
        <w:ind w:left="109" w:right="52"/>
      </w:pPr>
      <w:r>
        <w:t>〔2020〕56</w:t>
      </w:r>
      <w:bookmarkStart w:id="0" w:name="_GoBack"/>
      <w:bookmarkEnd w:id="0"/>
      <w:r>
        <w:t>号）和省市监管部门的要求，宁波市部分区域已纳入了电梯延长检验周期改革试点。</w:t>
      </w:r>
    </w:p>
    <w:p>
      <w:pPr>
        <w:tabs>
          <w:tab w:val="left" w:pos="4146"/>
          <w:tab w:val="left" w:pos="7382"/>
        </w:tabs>
        <w:spacing w:before="0" w:line="485" w:lineRule="exact"/>
        <w:ind w:left="750" w:right="0" w:firstLine="0"/>
        <w:jc w:val="left"/>
        <w:rPr>
          <w:sz w:val="24"/>
        </w:rPr>
      </w:pPr>
      <w:r>
        <w:rPr>
          <w:sz w:val="32"/>
        </w:rPr>
        <w:t>我单位在用的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电梯</w:t>
      </w:r>
      <w:r>
        <w:rPr>
          <w:rFonts w:hint="eastAsia" w:ascii="Microsoft JhengHei" w:eastAsia="Microsoft JhengHei"/>
          <w:b/>
          <w:sz w:val="32"/>
        </w:rPr>
        <w:t>识别码</w:t>
      </w:r>
      <w:r>
        <w:rPr>
          <w:sz w:val="32"/>
        </w:rPr>
        <w:t>：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（</w:t>
      </w:r>
      <w:r>
        <w:rPr>
          <w:sz w:val="28"/>
          <w:szCs w:val="24"/>
        </w:rPr>
        <w:t>6位数字</w:t>
      </w:r>
      <w:r>
        <w:rPr>
          <w:sz w:val="24"/>
        </w:rPr>
        <w:t>，</w:t>
      </w:r>
    </w:p>
    <w:p>
      <w:pPr>
        <w:pStyle w:val="3"/>
        <w:tabs>
          <w:tab w:val="left" w:pos="4153"/>
          <w:tab w:val="left" w:pos="5320"/>
        </w:tabs>
        <w:spacing w:before="141" w:line="364" w:lineRule="auto"/>
        <w:ind w:left="109" w:right="124"/>
      </w:pPr>
      <w:r>
        <w:rPr>
          <w:sz w:val="28"/>
        </w:rPr>
        <w:t>多台详</w:t>
      </w:r>
      <w:r>
        <w:rPr>
          <w:spacing w:val="-3"/>
          <w:sz w:val="28"/>
        </w:rPr>
        <w:t>见</w:t>
      </w:r>
      <w:r>
        <w:rPr>
          <w:sz w:val="28"/>
        </w:rPr>
        <w:t>附件</w:t>
      </w:r>
      <w:r>
        <w:rPr>
          <w:spacing w:val="-3"/>
          <w:sz w:val="28"/>
        </w:rPr>
        <w:t>清</w:t>
      </w:r>
      <w:r>
        <w:rPr>
          <w:sz w:val="28"/>
        </w:rPr>
        <w:t>单</w:t>
      </w:r>
      <w:r>
        <w:t>）将于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月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日原检验有效期将满，</w:t>
      </w:r>
      <w:r>
        <w:rPr>
          <w:spacing w:val="-15"/>
        </w:rPr>
        <w:t>按</w:t>
      </w:r>
      <w:r>
        <w:t>改革试点政策今</w:t>
      </w:r>
      <w:r>
        <w:rPr>
          <w:spacing w:val="3"/>
        </w:rPr>
        <w:t>年</w:t>
      </w:r>
      <w:r>
        <w:t>需改变检验方式进行自行检测。</w:t>
      </w:r>
    </w:p>
    <w:p>
      <w:pPr>
        <w:pStyle w:val="3"/>
        <w:spacing w:before="1" w:line="364" w:lineRule="auto"/>
        <w:ind w:left="109" w:right="117" w:firstLine="640"/>
        <w:jc w:val="both"/>
      </w:pPr>
      <w:r>
        <w:t>根据宁波《市市场监管局关于全面推进电梯安全监管改革</w:t>
      </w:r>
      <w:r>
        <w:rPr>
          <w:spacing w:val="-16"/>
        </w:rPr>
        <w:t>创新试点工作的通知》</w:t>
      </w:r>
      <w:r>
        <w:t>（甬市监特〔2020〕330</w:t>
      </w:r>
      <w:r>
        <w:rPr>
          <w:spacing w:val="-40"/>
        </w:rPr>
        <w:t>号</w:t>
      </w:r>
      <w:r>
        <w:t>）文件中“保</w:t>
      </w:r>
      <w:r>
        <w:rPr>
          <w:w w:val="95"/>
        </w:rPr>
        <w:t>留试点区域使用单位不参加试点的权利”的规定，我单位决定</w:t>
      </w:r>
    </w:p>
    <w:p>
      <w:pPr>
        <w:spacing w:before="0" w:line="491" w:lineRule="exact"/>
        <w:ind w:left="93" w:right="106" w:firstLine="0"/>
        <w:jc w:val="center"/>
        <w:rPr>
          <w:sz w:val="32"/>
        </w:rPr>
      </w:pPr>
      <w:r>
        <w:rPr>
          <w:rFonts w:hint="eastAsia" w:ascii="Microsoft JhengHei" w:eastAsia="Microsoft JhengHei"/>
          <w:b/>
          <w:spacing w:val="-2"/>
          <w:w w:val="95"/>
          <w:sz w:val="33"/>
          <w:shd w:val="clear" w:color="auto" w:fill="D9D9D9"/>
        </w:rPr>
        <w:t>上述电梯不参加此次改革，申请退出试点</w:t>
      </w:r>
      <w:r>
        <w:rPr>
          <w:rFonts w:hint="eastAsia" w:ascii="Microsoft JhengHei" w:eastAsia="Microsoft JhengHei"/>
          <w:b/>
          <w:w w:val="95"/>
          <w:sz w:val="33"/>
          <w:shd w:val="clear" w:color="auto" w:fill="D9D9D9"/>
        </w:rPr>
        <w:t>（2021-2022年</w:t>
      </w:r>
      <w:r>
        <w:rPr>
          <w:rFonts w:hint="eastAsia" w:ascii="Microsoft JhengHei" w:eastAsia="Microsoft JhengHei"/>
          <w:b/>
          <w:spacing w:val="-156"/>
          <w:w w:val="95"/>
          <w:sz w:val="33"/>
          <w:shd w:val="clear" w:color="auto" w:fill="D9D9D9"/>
        </w:rPr>
        <w:t>）</w:t>
      </w:r>
      <w:r>
        <w:rPr>
          <w:spacing w:val="-5"/>
          <w:w w:val="95"/>
          <w:sz w:val="32"/>
        </w:rPr>
        <w:t>。请</w:t>
      </w:r>
    </w:p>
    <w:p>
      <w:pPr>
        <w:pStyle w:val="3"/>
        <w:spacing w:before="136" w:line="364" w:lineRule="auto"/>
        <w:ind w:left="109" w:right="122"/>
      </w:pPr>
      <w:r>
        <w:rPr>
          <w:spacing w:val="-9"/>
          <w:w w:val="99"/>
        </w:rPr>
        <w:t>将有效期恢复到原检验合格有效期，并按照</w:t>
      </w:r>
      <w:r>
        <w:rPr>
          <w:w w:val="99"/>
        </w:rPr>
        <w:t>TSG</w:t>
      </w:r>
      <w:r>
        <w:t xml:space="preserve"> </w:t>
      </w:r>
      <w:r>
        <w:rPr>
          <w:spacing w:val="-2"/>
          <w:w w:val="99"/>
        </w:rPr>
        <w:t>T</w:t>
      </w:r>
      <w:r>
        <w:rPr>
          <w:w w:val="99"/>
        </w:rPr>
        <w:t>700</w:t>
      </w:r>
      <w:r>
        <w:rPr>
          <w:spacing w:val="-2"/>
          <w:w w:val="99"/>
        </w:rPr>
        <w:t>1</w:t>
      </w:r>
      <w:r>
        <w:rPr>
          <w:w w:val="99"/>
        </w:rPr>
        <w:t>~7</w:t>
      </w:r>
      <w:r>
        <w:rPr>
          <w:spacing w:val="-2"/>
          <w:w w:val="99"/>
        </w:rPr>
        <w:t>0</w:t>
      </w:r>
      <w:r>
        <w:rPr>
          <w:w w:val="99"/>
        </w:rPr>
        <w:t>0</w:t>
      </w:r>
      <w:r>
        <w:rPr>
          <w:spacing w:val="-133"/>
          <w:w w:val="99"/>
        </w:rPr>
        <w:t>6</w:t>
      </w:r>
      <w:r>
        <w:rPr>
          <w:spacing w:val="2"/>
          <w:w w:val="99"/>
        </w:rPr>
        <w:t>《电</w:t>
      </w:r>
      <w:r>
        <w:t>梯监督检验和定期检验规则》要求实施检验。</w:t>
      </w:r>
    </w:p>
    <w:p>
      <w:pPr>
        <w:pStyle w:val="3"/>
      </w:pPr>
    </w:p>
    <w:p>
      <w:pPr>
        <w:pStyle w:val="3"/>
        <w:spacing w:before="217"/>
        <w:ind w:left="4749"/>
      </w:pPr>
      <w:r>
        <w:rPr>
          <w:spacing w:val="-33"/>
          <w:w w:val="99"/>
        </w:rPr>
        <w:t>申请单位：</w:t>
      </w:r>
      <w:r>
        <w:rPr>
          <w:spacing w:val="2"/>
          <w:w w:val="99"/>
        </w:rPr>
        <w:t>（</w:t>
      </w:r>
      <w:r>
        <w:rPr>
          <w:w w:val="99"/>
        </w:rPr>
        <w:t>签章）</w:t>
      </w:r>
    </w:p>
    <w:p>
      <w:pPr>
        <w:pStyle w:val="3"/>
        <w:tabs>
          <w:tab w:val="left" w:pos="6830"/>
          <w:tab w:val="left" w:pos="8270"/>
          <w:tab w:val="left" w:pos="8666"/>
        </w:tabs>
        <w:spacing w:before="214" w:line="364" w:lineRule="auto"/>
        <w:ind w:left="4749" w:right="297"/>
      </w:pPr>
      <w:r>
        <w:t>经办人：</w:t>
      </w:r>
      <w:r>
        <w:rPr>
          <w:rFonts w:ascii="Times New Roman" w:eastAsia="Times New Roman"/>
          <w:w w:val="99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</w:rPr>
        <w:t xml:space="preserve">              </w:t>
      </w:r>
      <w:r>
        <w:t>202</w:t>
      </w:r>
      <w:r>
        <w:rPr>
          <w:rFonts w:hint="eastAsia"/>
          <w:u w:val="single"/>
          <w:lang w:val="en-US" w:eastAsia="zh-CN"/>
        </w:rPr>
        <w:t xml:space="preserve"> </w:t>
      </w:r>
      <w:r>
        <w:rPr>
          <w:u w:val="single"/>
        </w:rPr>
        <w:t xml:space="preserve"> </w:t>
      </w:r>
      <w:r>
        <w:t>年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月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日</w:t>
      </w:r>
    </w:p>
    <w:p>
      <w:pPr>
        <w:pStyle w:val="3"/>
        <w:rPr>
          <w:sz w:val="20"/>
        </w:rPr>
      </w:pPr>
    </w:p>
    <w:p>
      <w:pPr>
        <w:pStyle w:val="3"/>
        <w:spacing w:before="7"/>
        <w:rPr>
          <w:sz w:val="24"/>
        </w:rPr>
      </w:pPr>
    </w:p>
    <w:p>
      <w:pPr>
        <w:pStyle w:val="3"/>
        <w:tabs>
          <w:tab w:val="left" w:pos="2670"/>
          <w:tab w:val="left" w:pos="4429"/>
        </w:tabs>
        <w:spacing w:before="55"/>
        <w:ind w:left="109"/>
      </w:pPr>
      <w:r>
        <w:t>受理回复意见：</w:t>
      </w:r>
      <w:r>
        <w:tab/>
      </w:r>
      <w:r>
        <w:t>□同意</w:t>
      </w:r>
      <w:r>
        <w:tab/>
      </w:r>
      <w:r>
        <w:t>□不同意</w:t>
      </w:r>
    </w:p>
    <w:p>
      <w:pPr>
        <w:pStyle w:val="3"/>
        <w:spacing w:before="9"/>
        <w:rPr>
          <w:sz w:val="26"/>
        </w:rPr>
      </w:pPr>
    </w:p>
    <w:p>
      <w:pPr>
        <w:spacing w:before="0"/>
        <w:ind w:left="109" w:right="0" w:firstLine="0"/>
        <w:jc w:val="left"/>
        <w:rPr>
          <w:rFonts w:hint="eastAsia" w:ascii="Microsoft JhengHei" w:eastAsia="Microsoft JhengHei"/>
          <w:b/>
          <w:sz w:val="24"/>
        </w:rPr>
      </w:pPr>
      <w:r>
        <w:rPr>
          <w:rFonts w:hint="eastAsia" w:ascii="Microsoft JhengHei" w:eastAsia="Microsoft JhengHei"/>
          <w:b/>
          <w:sz w:val="24"/>
        </w:rPr>
        <w:t>注：此件一式二份，申请单位签名盖章，回复后一份交受理员，一份返回存档。</w:t>
      </w:r>
    </w:p>
    <w:p>
      <w:pPr>
        <w:spacing w:after="0"/>
        <w:jc w:val="left"/>
        <w:rPr>
          <w:rFonts w:hint="eastAsia" w:ascii="Microsoft JhengHei" w:eastAsia="Microsoft JhengHei"/>
          <w:sz w:val="24"/>
        </w:rPr>
        <w:sectPr>
          <w:type w:val="continuous"/>
          <w:pgSz w:w="11910" w:h="16840"/>
          <w:pgMar w:top="1180" w:right="1460" w:bottom="280" w:left="1480" w:header="720" w:footer="720" w:gutter="0"/>
          <w:cols w:space="720" w:num="1"/>
        </w:sectPr>
      </w:pPr>
    </w:p>
    <w:p>
      <w:pPr>
        <w:pStyle w:val="3"/>
        <w:spacing w:before="7"/>
        <w:rPr>
          <w:rFonts w:ascii="Microsoft JhengHei"/>
          <w:b/>
          <w:sz w:val="11"/>
        </w:rPr>
      </w:pPr>
    </w:p>
    <w:p>
      <w:pPr>
        <w:pStyle w:val="2"/>
        <w:ind w:right="7876"/>
      </w:pPr>
      <w:r>
        <w:t>附件：</w:t>
      </w:r>
    </w:p>
    <w:p>
      <w:pPr>
        <w:spacing w:before="0" w:line="553" w:lineRule="exact"/>
        <w:ind w:left="264" w:right="122" w:firstLine="0"/>
        <w:jc w:val="center"/>
        <w:rPr>
          <w:rFonts w:hint="eastAsia" w:ascii="Microsoft JhengHei" w:eastAsia="Microsoft JhengHei"/>
          <w:b/>
          <w:sz w:val="32"/>
        </w:rPr>
      </w:pPr>
      <w:r>
        <w:rPr>
          <w:rFonts w:hint="eastAsia" w:ascii="Microsoft JhengHei" w:eastAsia="Microsoft JhengHei"/>
          <w:b/>
          <w:sz w:val="32"/>
        </w:rPr>
        <w:t>退出电梯延长检验周期改革试点的清单</w:t>
      </w:r>
    </w:p>
    <w:p>
      <w:pPr>
        <w:pStyle w:val="3"/>
        <w:spacing w:before="7"/>
        <w:rPr>
          <w:rFonts w:ascii="Microsoft JhengHei"/>
          <w:b/>
          <w:sz w:val="11"/>
        </w:rPr>
      </w:pPr>
    </w:p>
    <w:p>
      <w:pPr>
        <w:tabs>
          <w:tab w:val="left" w:pos="5776"/>
          <w:tab w:val="left" w:pos="6131"/>
          <w:tab w:val="left" w:pos="7603"/>
          <w:tab w:val="left" w:pos="8443"/>
        </w:tabs>
        <w:spacing w:before="70"/>
        <w:ind w:left="109" w:right="0" w:firstLine="0"/>
        <w:jc w:val="left"/>
        <w:rPr>
          <w:sz w:val="28"/>
        </w:rPr>
      </w:pPr>
      <w:r>
        <w:rPr>
          <w:w w:val="100"/>
          <w:sz w:val="28"/>
        </w:rPr>
        <w:t>使用单</w:t>
      </w:r>
      <w:r>
        <w:rPr>
          <w:spacing w:val="-3"/>
          <w:w w:val="100"/>
          <w:sz w:val="28"/>
        </w:rPr>
        <w:t>位</w:t>
      </w:r>
      <w:r>
        <w:rPr>
          <w:w w:val="100"/>
          <w:sz w:val="28"/>
        </w:rPr>
        <w:t>（简</w:t>
      </w:r>
      <w:r>
        <w:rPr>
          <w:spacing w:val="-3"/>
          <w:w w:val="100"/>
          <w:sz w:val="28"/>
        </w:rPr>
        <w:t>称</w:t>
      </w:r>
      <w:r>
        <w:rPr>
          <w:spacing w:val="-140"/>
          <w:w w:val="100"/>
          <w:sz w:val="28"/>
        </w:rPr>
        <w:t>）</w:t>
      </w:r>
      <w:r>
        <w:rPr>
          <w:spacing w:val="-2"/>
          <w:w w:val="100"/>
          <w:sz w:val="28"/>
        </w:rPr>
        <w:t>：</w:t>
      </w:r>
      <w:r>
        <w:rPr>
          <w:rFonts w:ascii="Times New Roman" w:eastAsia="Times New Roman"/>
          <w:w w:val="100"/>
          <w:sz w:val="28"/>
          <w:u w:val="single"/>
        </w:rPr>
        <w:t xml:space="preserve"> </w:t>
      </w:r>
      <w:r>
        <w:rPr>
          <w:rFonts w:ascii="Times New Roman" w:eastAsia="Times New Roman"/>
          <w:sz w:val="28"/>
          <w:u w:val="single"/>
        </w:rPr>
        <w:tab/>
      </w:r>
      <w:r>
        <w:rPr>
          <w:rFonts w:ascii="Times New Roman" w:eastAsia="Times New Roman"/>
          <w:sz w:val="28"/>
        </w:rPr>
        <w:tab/>
      </w:r>
      <w:r>
        <w:rPr>
          <w:w w:val="100"/>
          <w:sz w:val="28"/>
        </w:rPr>
        <w:t>2</w:t>
      </w:r>
      <w:r>
        <w:rPr>
          <w:spacing w:val="-2"/>
          <w:w w:val="100"/>
          <w:sz w:val="28"/>
        </w:rPr>
        <w:t>0</w:t>
      </w:r>
      <w:r>
        <w:rPr>
          <w:w w:val="100"/>
          <w:sz w:val="28"/>
        </w:rPr>
        <w:t>2</w:t>
      </w:r>
      <w:r>
        <w:rPr>
          <w:rFonts w:hint="eastAsia"/>
          <w:w w:val="100"/>
          <w:sz w:val="28"/>
          <w:u w:val="single"/>
          <w:lang w:val="en-US" w:eastAsia="zh-CN"/>
        </w:rPr>
        <w:t xml:space="preserve"> </w:t>
      </w:r>
      <w:r>
        <w:rPr>
          <w:spacing w:val="-71"/>
          <w:sz w:val="28"/>
          <w:u w:val="single"/>
        </w:rPr>
        <w:t xml:space="preserve"> </w:t>
      </w:r>
      <w:r>
        <w:rPr>
          <w:rFonts w:hint="eastAsia"/>
          <w:spacing w:val="-71"/>
          <w:sz w:val="28"/>
          <w:u w:val="single"/>
          <w:lang w:val="en-US" w:eastAsia="zh-CN"/>
        </w:rPr>
        <w:t xml:space="preserve">  </w:t>
      </w:r>
      <w:r>
        <w:rPr>
          <w:w w:val="100"/>
          <w:sz w:val="28"/>
        </w:rPr>
        <w:t>年</w:t>
      </w:r>
      <w:r>
        <w:rPr>
          <w:rFonts w:ascii="Times New Roman" w:eastAsia="Times New Roman"/>
          <w:w w:val="100"/>
          <w:sz w:val="28"/>
          <w:u w:val="single"/>
        </w:rPr>
        <w:t xml:space="preserve"> </w:t>
      </w:r>
      <w:r>
        <w:rPr>
          <w:rFonts w:ascii="Times New Roman" w:eastAsia="Times New Roman"/>
          <w:sz w:val="28"/>
          <w:u w:val="single"/>
        </w:rPr>
        <w:tab/>
      </w:r>
      <w:r>
        <w:rPr>
          <w:rFonts w:hint="eastAsia" w:ascii="Times New Roman"/>
          <w:sz w:val="28"/>
          <w:u w:val="single"/>
          <w:lang w:val="en-US" w:eastAsia="zh-CN"/>
        </w:rPr>
        <w:t xml:space="preserve"> </w:t>
      </w:r>
      <w:r>
        <w:rPr>
          <w:w w:val="100"/>
          <w:sz w:val="28"/>
        </w:rPr>
        <w:t>月</w:t>
      </w:r>
      <w:r>
        <w:rPr>
          <w:rFonts w:ascii="Times New Roman" w:eastAsia="Times New Roman"/>
          <w:sz w:val="28"/>
          <w:u w:val="single"/>
        </w:rPr>
        <w:tab/>
      </w:r>
      <w:r>
        <w:rPr>
          <w:w w:val="100"/>
          <w:sz w:val="28"/>
        </w:rPr>
        <w:t>日</w:t>
      </w:r>
    </w:p>
    <w:p>
      <w:pPr>
        <w:pStyle w:val="3"/>
        <w:spacing w:before="10"/>
        <w:rPr>
          <w:sz w:val="11"/>
        </w:rPr>
      </w:pPr>
    </w:p>
    <w:p>
      <w:pPr>
        <w:tabs>
          <w:tab w:val="left" w:pos="4235"/>
          <w:tab w:val="left" w:pos="8858"/>
        </w:tabs>
        <w:spacing w:before="62"/>
        <w:ind w:left="109" w:right="0" w:firstLine="0"/>
        <w:jc w:val="left"/>
        <w:rPr>
          <w:rFonts w:ascii="Times New Roman" w:eastAsia="Times New Roman"/>
          <w:sz w:val="28"/>
        </w:rPr>
      </w:pPr>
      <w:r>
        <w:rPr>
          <w:sz w:val="28"/>
        </w:rPr>
        <w:t>经办人：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联系电话：</w:t>
      </w:r>
      <w:r>
        <w:rPr>
          <w:rFonts w:ascii="Times New Roman" w:eastAsia="Times New Roman"/>
          <w:sz w:val="28"/>
          <w:u w:val="single"/>
        </w:rPr>
        <w:t xml:space="preserve"> </w:t>
      </w:r>
      <w:r>
        <w:rPr>
          <w:rFonts w:ascii="Times New Roman" w:eastAsia="Times New Roman"/>
          <w:sz w:val="28"/>
          <w:u w:val="single"/>
        </w:rPr>
        <w:tab/>
      </w:r>
    </w:p>
    <w:p>
      <w:pPr>
        <w:pStyle w:val="3"/>
        <w:spacing w:before="5"/>
        <w:rPr>
          <w:rFonts w:ascii="Times New Roman"/>
          <w:sz w:val="11"/>
        </w:rPr>
      </w:pPr>
    </w:p>
    <w:tbl>
      <w:tblPr>
        <w:tblStyle w:val="4"/>
        <w:tblW w:w="0" w:type="auto"/>
        <w:tblInd w:w="11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9"/>
        <w:gridCol w:w="3685"/>
        <w:gridCol w:w="404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989" w:type="dxa"/>
          </w:tcPr>
          <w:p>
            <w:pPr>
              <w:pStyle w:val="8"/>
              <w:spacing w:before="242"/>
              <w:ind w:left="154" w:right="145"/>
              <w:jc w:val="center"/>
              <w:rPr>
                <w:rFonts w:hint="eastAsia" w:ascii="Microsoft JhengHei" w:eastAsia="Microsoft JhengHei"/>
                <w:b/>
                <w:sz w:val="32"/>
              </w:rPr>
            </w:pPr>
            <w:r>
              <w:rPr>
                <w:rFonts w:hint="eastAsia" w:ascii="Microsoft JhengHei" w:eastAsia="Microsoft JhengHei"/>
                <w:b/>
                <w:sz w:val="32"/>
              </w:rPr>
              <w:t>序号</w:t>
            </w:r>
          </w:p>
        </w:tc>
        <w:tc>
          <w:tcPr>
            <w:tcW w:w="3685" w:type="dxa"/>
          </w:tcPr>
          <w:p>
            <w:pPr>
              <w:pStyle w:val="8"/>
              <w:spacing w:before="85"/>
              <w:ind w:left="793"/>
              <w:rPr>
                <w:rFonts w:hint="eastAsia" w:ascii="Microsoft JhengHei" w:eastAsia="Microsoft JhengHei"/>
                <w:b/>
                <w:sz w:val="32"/>
              </w:rPr>
            </w:pPr>
            <w:r>
              <w:rPr>
                <w:rFonts w:hint="eastAsia" w:ascii="Microsoft JhengHei" w:eastAsia="Microsoft JhengHei"/>
                <w:b/>
                <w:sz w:val="32"/>
              </w:rPr>
              <w:t>电梯名称/类别</w:t>
            </w:r>
          </w:p>
          <w:p>
            <w:pPr>
              <w:pStyle w:val="8"/>
              <w:spacing w:before="60"/>
              <w:ind w:left="789"/>
              <w:rPr>
                <w:sz w:val="21"/>
              </w:rPr>
            </w:pPr>
            <w:r>
              <w:rPr>
                <w:spacing w:val="-1"/>
                <w:sz w:val="21"/>
              </w:rPr>
              <w:t>（乘客</w:t>
            </w:r>
            <w:r>
              <w:rPr>
                <w:sz w:val="21"/>
              </w:rPr>
              <w:t>/</w:t>
            </w:r>
            <w:r>
              <w:rPr>
                <w:spacing w:val="-2"/>
                <w:sz w:val="21"/>
              </w:rPr>
              <w:t>货运</w:t>
            </w:r>
            <w:r>
              <w:rPr>
                <w:sz w:val="21"/>
              </w:rPr>
              <w:t>/</w:t>
            </w:r>
            <w:r>
              <w:rPr>
                <w:spacing w:val="-3"/>
                <w:sz w:val="21"/>
              </w:rPr>
              <w:t>扶梯等</w:t>
            </w:r>
            <w:r>
              <w:rPr>
                <w:sz w:val="21"/>
              </w:rPr>
              <w:t>）</w:t>
            </w:r>
          </w:p>
        </w:tc>
        <w:tc>
          <w:tcPr>
            <w:tcW w:w="4047" w:type="dxa"/>
          </w:tcPr>
          <w:p>
            <w:pPr>
              <w:pStyle w:val="8"/>
              <w:spacing w:before="242"/>
              <w:ind w:left="489"/>
              <w:rPr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32"/>
              </w:rPr>
              <w:t>识别码</w:t>
            </w:r>
            <w:r>
              <w:rPr>
                <w:sz w:val="24"/>
              </w:rPr>
              <w:t>（</w:t>
            </w:r>
            <w:r>
              <w:rPr>
                <w:rFonts w:hint="eastAsia" w:ascii="Microsoft JhengHei" w:eastAsia="Microsoft JhengHei"/>
                <w:b/>
                <w:sz w:val="24"/>
              </w:rPr>
              <w:t>必填</w:t>
            </w:r>
            <w:r>
              <w:rPr>
                <w:sz w:val="24"/>
              </w:rPr>
              <w:t>、6 位数字）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989" w:type="dxa"/>
          </w:tcPr>
          <w:p>
            <w:pPr>
              <w:pStyle w:val="8"/>
              <w:spacing w:before="107"/>
              <w:ind w:left="5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1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89" w:type="dxa"/>
          </w:tcPr>
          <w:p>
            <w:pPr>
              <w:pStyle w:val="8"/>
              <w:spacing w:before="104"/>
              <w:ind w:left="5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2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89" w:type="dxa"/>
          </w:tcPr>
          <w:p>
            <w:pPr>
              <w:pStyle w:val="8"/>
              <w:spacing w:before="104"/>
              <w:ind w:left="5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3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89" w:type="dxa"/>
          </w:tcPr>
          <w:p>
            <w:pPr>
              <w:pStyle w:val="8"/>
              <w:spacing w:before="104"/>
              <w:ind w:left="5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4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89" w:type="dxa"/>
          </w:tcPr>
          <w:p>
            <w:pPr>
              <w:pStyle w:val="8"/>
              <w:spacing w:before="105"/>
              <w:ind w:left="5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5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89" w:type="dxa"/>
          </w:tcPr>
          <w:p>
            <w:pPr>
              <w:pStyle w:val="8"/>
              <w:spacing w:before="104"/>
              <w:ind w:left="5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6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989" w:type="dxa"/>
          </w:tcPr>
          <w:p>
            <w:pPr>
              <w:pStyle w:val="8"/>
              <w:spacing w:before="107"/>
              <w:ind w:left="5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7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89" w:type="dxa"/>
          </w:tcPr>
          <w:p>
            <w:pPr>
              <w:pStyle w:val="8"/>
              <w:spacing w:before="104"/>
              <w:ind w:left="5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8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89" w:type="dxa"/>
          </w:tcPr>
          <w:p>
            <w:pPr>
              <w:pStyle w:val="8"/>
              <w:spacing w:before="104"/>
              <w:ind w:left="5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9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989" w:type="dxa"/>
          </w:tcPr>
          <w:p>
            <w:pPr>
              <w:pStyle w:val="8"/>
              <w:spacing w:before="105"/>
              <w:ind w:left="154" w:right="145"/>
              <w:jc w:val="center"/>
              <w:rPr>
                <w:sz w:val="32"/>
              </w:rPr>
            </w:pPr>
            <w:r>
              <w:rPr>
                <w:sz w:val="32"/>
              </w:rPr>
              <w:t>10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89" w:type="dxa"/>
          </w:tcPr>
          <w:p>
            <w:pPr>
              <w:pStyle w:val="8"/>
              <w:spacing w:before="104"/>
              <w:ind w:left="154" w:right="145"/>
              <w:jc w:val="center"/>
              <w:rPr>
                <w:sz w:val="32"/>
              </w:rPr>
            </w:pPr>
            <w:r>
              <w:rPr>
                <w:sz w:val="32"/>
              </w:rPr>
              <w:t>11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89" w:type="dxa"/>
          </w:tcPr>
          <w:p>
            <w:pPr>
              <w:pStyle w:val="8"/>
              <w:spacing w:before="104"/>
              <w:ind w:left="154" w:right="145"/>
              <w:jc w:val="center"/>
              <w:rPr>
                <w:sz w:val="32"/>
              </w:rPr>
            </w:pPr>
            <w:r>
              <w:rPr>
                <w:sz w:val="32"/>
              </w:rPr>
              <w:t>12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989" w:type="dxa"/>
          </w:tcPr>
          <w:p>
            <w:pPr>
              <w:pStyle w:val="8"/>
              <w:spacing w:before="107"/>
              <w:ind w:left="154" w:right="145"/>
              <w:jc w:val="center"/>
              <w:rPr>
                <w:sz w:val="32"/>
              </w:rPr>
            </w:pPr>
            <w:r>
              <w:rPr>
                <w:sz w:val="32"/>
              </w:rPr>
              <w:t>13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89" w:type="dxa"/>
          </w:tcPr>
          <w:p>
            <w:pPr>
              <w:pStyle w:val="8"/>
              <w:spacing w:before="104"/>
              <w:ind w:left="154" w:right="145"/>
              <w:jc w:val="center"/>
              <w:rPr>
                <w:sz w:val="32"/>
              </w:rPr>
            </w:pPr>
            <w:r>
              <w:rPr>
                <w:sz w:val="32"/>
              </w:rPr>
              <w:t>14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989" w:type="dxa"/>
          </w:tcPr>
          <w:p>
            <w:pPr>
              <w:pStyle w:val="8"/>
              <w:spacing w:before="105"/>
              <w:ind w:left="154" w:right="145"/>
              <w:jc w:val="center"/>
              <w:rPr>
                <w:sz w:val="32"/>
              </w:rPr>
            </w:pPr>
            <w:r>
              <w:rPr>
                <w:sz w:val="32"/>
              </w:rPr>
              <w:t>15</w:t>
            </w:r>
          </w:p>
        </w:tc>
        <w:tc>
          <w:tcPr>
            <w:tcW w:w="3685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4047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</w:tbl>
    <w:p/>
    <w:sectPr>
      <w:pgSz w:w="11910" w:h="16840"/>
      <w:pgMar w:top="1580" w:right="1460" w:bottom="280" w:left="14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rsids>
    <w:rsidRoot w:val="00000000"/>
    <w:rsid w:val="041D7FAB"/>
    <w:rsid w:val="3B895D1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line="502" w:lineRule="exact"/>
      <w:ind w:left="93" w:right="106"/>
      <w:jc w:val="center"/>
      <w:outlineLvl w:val="1"/>
    </w:pPr>
    <w:rPr>
      <w:rFonts w:ascii="Microsoft JhengHei" w:hAnsi="Microsoft JhengHei" w:eastAsia="Microsoft JhengHei" w:cs="Microsoft JhengHei"/>
      <w:b/>
      <w:bCs/>
      <w:sz w:val="32"/>
      <w:szCs w:val="32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ScaleCrop>false</ScaleCrop>
  <LinksUpToDate>false</LinksUpToDate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2022-04-29T03:15:00Z</dcterms:created>
  <dc:creator>Administrator</dc:creator>
  <cp:lastModifiedBy>施科益</cp:lastModifiedBy>
  <dcterms:modified xsi:type="dcterms:W3CDTF">2022-04-29T03:22:10Z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2022-04-29T00:00:00Z</vt:filetime>
  </property>
  <property fmtid="{D5CDD505-2E9C-101B-9397-08002B2CF9AE}" pid="5" name="KSOProductBuildVer">
    <vt:lpwstr>2052-11.1.0.11115</vt:lpwstr>
  </property>
  <property fmtid="{D5CDD505-2E9C-101B-9397-08002B2CF9AE}" pid="6" name="ICV">
    <vt:lpwstr>72C10FD9FAE64FCE9D5A5455BCFF7DB5</vt:lpwstr>
  </property>
</Properties>
</file>